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0917D6" w:rsidRPr="009E2B84" w:rsidTr="00CA1F46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:rsidR="000917D6" w:rsidRPr="009E2B84" w:rsidRDefault="000917D6" w:rsidP="00CA1F46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9340EB6" wp14:editId="4D2532A9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B84">
              <w:rPr>
                <w:b/>
              </w:rPr>
              <w:t>REPORT</w:t>
            </w:r>
            <w:r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0917D6" w:rsidRPr="009E2B84" w:rsidRDefault="000917D6" w:rsidP="00CA1F46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0917D6" w:rsidRPr="009E2B84" w:rsidTr="00CA1F46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:rsidR="00207EF2" w:rsidRPr="00BE2A3F" w:rsidRDefault="000A71F4" w:rsidP="00CA1F4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Council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0917D6" w:rsidRPr="001E323B" w:rsidRDefault="000A71F4" w:rsidP="00CA1F46">
            <w:pPr>
              <w:jc w:val="center"/>
              <w:rPr>
                <w:b/>
              </w:rPr>
            </w:pPr>
            <w:r>
              <w:rPr>
                <w:b/>
              </w:rPr>
              <w:t>24 July 2019</w:t>
            </w:r>
          </w:p>
        </w:tc>
      </w:tr>
      <w:tr w:rsidR="000917D6" w:rsidRPr="009E2B84" w:rsidTr="00CA1F46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:rsidR="000917D6" w:rsidRPr="009E2B84" w:rsidRDefault="000917D6" w:rsidP="00CA1F46">
            <w:pPr>
              <w:jc w:val="right"/>
              <w:rPr>
                <w:sz w:val="8"/>
              </w:rPr>
            </w:pPr>
          </w:p>
        </w:tc>
      </w:tr>
      <w:tr w:rsidR="000917D6" w:rsidRPr="009E2B84" w:rsidTr="00CA1F46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:rsidR="000917D6" w:rsidRPr="009E2B84" w:rsidRDefault="000917D6" w:rsidP="00CA1F46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0917D6" w:rsidRPr="009E2B84" w:rsidRDefault="000917D6" w:rsidP="00CA1F46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0917D6" w:rsidRPr="009E2B84" w:rsidTr="00CA1F46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:rsidR="000917D6" w:rsidRPr="009E2B84" w:rsidRDefault="00F462D2" w:rsidP="00CA1F46">
            <w:pPr>
              <w:rPr>
                <w:b/>
              </w:rPr>
            </w:pPr>
            <w:r>
              <w:rPr>
                <w:b/>
              </w:rPr>
              <w:t xml:space="preserve">Licensing </w:t>
            </w:r>
            <w:r w:rsidR="000917D6">
              <w:rPr>
                <w:b/>
              </w:rPr>
              <w:t>Annual Report</w:t>
            </w:r>
          </w:p>
        </w:tc>
        <w:tc>
          <w:tcPr>
            <w:tcW w:w="2977" w:type="dxa"/>
            <w:gridSpan w:val="2"/>
            <w:vAlign w:val="center"/>
          </w:tcPr>
          <w:p w:rsidR="000917D6" w:rsidRPr="001E323B" w:rsidRDefault="000917D6" w:rsidP="00CA1F46">
            <w:pPr>
              <w:rPr>
                <w:b/>
              </w:rPr>
            </w:pPr>
            <w:r w:rsidRPr="001E323B">
              <w:rPr>
                <w:b/>
              </w:rPr>
              <w:t>Head of Licensing</w:t>
            </w:r>
          </w:p>
        </w:tc>
      </w:tr>
    </w:tbl>
    <w:p w:rsidR="002F5C5E" w:rsidRPr="009E2B84" w:rsidRDefault="000917D6" w:rsidP="002F5C5E">
      <w:r>
        <w:br w:type="textWrapping" w:clear="all"/>
      </w:r>
    </w:p>
    <w:p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:rsidTr="00E2196F">
        <w:tc>
          <w:tcPr>
            <w:tcW w:w="6652" w:type="dxa"/>
            <w:shd w:val="clear" w:color="auto" w:fill="auto"/>
          </w:tcPr>
          <w:p w:rsidR="0047741D" w:rsidRPr="009C1143" w:rsidRDefault="0047741D" w:rsidP="00F462D2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  <w:r w:rsidR="001E323B">
              <w:rPr>
                <w:szCs w:val="22"/>
              </w:rPr>
              <w:t xml:space="preserve"> </w:t>
            </w:r>
            <w:r w:rsidR="007B14EE">
              <w:rPr>
                <w:szCs w:val="22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:rsidR="0047741D" w:rsidRPr="009C1143" w:rsidRDefault="00F462D2" w:rsidP="007B14EE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</w:tr>
    </w:tbl>
    <w:p w:rsidR="0047741D" w:rsidRDefault="0047741D" w:rsidP="002F5C5E">
      <w:pPr>
        <w:rPr>
          <w:sz w:val="16"/>
          <w:szCs w:val="16"/>
        </w:rPr>
      </w:pPr>
    </w:p>
    <w:p w:rsidR="00EB2D32" w:rsidRPr="009C1143" w:rsidRDefault="00EB2D32" w:rsidP="002F5C5E">
      <w:pPr>
        <w:rPr>
          <w:sz w:val="16"/>
          <w:szCs w:val="16"/>
        </w:rPr>
      </w:pPr>
    </w:p>
    <w:p w:rsidR="002F5C5E" w:rsidRDefault="002F5C5E" w:rsidP="003952D1">
      <w:pPr>
        <w:keepNext/>
        <w:ind w:left="360"/>
        <w:outlineLvl w:val="0"/>
        <w:rPr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:rsidR="002F5C5E" w:rsidRPr="002B2179" w:rsidRDefault="002F5C5E" w:rsidP="002F5C5E">
      <w:pPr>
        <w:rPr>
          <w:rFonts w:cs="Arial"/>
          <w:sz w:val="16"/>
          <w:szCs w:val="16"/>
        </w:rPr>
      </w:pPr>
    </w:p>
    <w:p w:rsidR="001E323B" w:rsidRPr="003952D1" w:rsidRDefault="002B2179" w:rsidP="003952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52D1">
        <w:rPr>
          <w:rFonts w:ascii="Arial" w:hAnsi="Arial" w:cs="Arial"/>
        </w:rPr>
        <w:t xml:space="preserve">To provide an update </w:t>
      </w:r>
      <w:r w:rsidR="00047F24" w:rsidRPr="003952D1">
        <w:rPr>
          <w:rFonts w:ascii="Arial" w:hAnsi="Arial" w:cs="Arial"/>
        </w:rPr>
        <w:t xml:space="preserve">on the </w:t>
      </w:r>
      <w:r w:rsidR="007B14EE" w:rsidRPr="003952D1">
        <w:rPr>
          <w:rFonts w:ascii="Arial" w:hAnsi="Arial" w:cs="Arial"/>
        </w:rPr>
        <w:t xml:space="preserve">annual performance of the Licensing Service </w:t>
      </w:r>
    </w:p>
    <w:p w:rsidR="002F5C5E" w:rsidRPr="003952D1" w:rsidRDefault="002F5C5E" w:rsidP="002F5C5E">
      <w:pPr>
        <w:rPr>
          <w:rFonts w:cs="Arial"/>
          <w:szCs w:val="22"/>
        </w:rPr>
      </w:pPr>
    </w:p>
    <w:p w:rsidR="002F5C5E" w:rsidRPr="003952D1" w:rsidRDefault="002F5C5E" w:rsidP="003952D1">
      <w:pPr>
        <w:keepNext/>
        <w:ind w:left="360"/>
        <w:outlineLvl w:val="0"/>
        <w:rPr>
          <w:rFonts w:cs="Arial"/>
          <w:b/>
          <w:szCs w:val="22"/>
        </w:rPr>
      </w:pPr>
      <w:r w:rsidRPr="003952D1">
        <w:rPr>
          <w:rFonts w:cs="Arial"/>
          <w:b/>
          <w:szCs w:val="22"/>
        </w:rPr>
        <w:t>RECOMMENDATIONS</w:t>
      </w:r>
    </w:p>
    <w:p w:rsidR="000B5251" w:rsidRPr="003952D1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:rsidR="000B5251" w:rsidRPr="003952D1" w:rsidRDefault="00047F24" w:rsidP="003952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52D1">
        <w:rPr>
          <w:rFonts w:ascii="Arial" w:hAnsi="Arial" w:cs="Arial"/>
        </w:rPr>
        <w:t xml:space="preserve">To note the contents </w:t>
      </w:r>
      <w:r w:rsidR="00672165" w:rsidRPr="003952D1">
        <w:rPr>
          <w:rFonts w:ascii="Arial" w:hAnsi="Arial" w:cs="Arial"/>
        </w:rPr>
        <w:t xml:space="preserve">of the report </w:t>
      </w:r>
      <w:r w:rsidRPr="003952D1">
        <w:rPr>
          <w:rFonts w:ascii="Arial" w:hAnsi="Arial" w:cs="Arial"/>
        </w:rPr>
        <w:t xml:space="preserve">and </w:t>
      </w:r>
      <w:r w:rsidR="00672165" w:rsidRPr="003952D1">
        <w:rPr>
          <w:rFonts w:ascii="Arial" w:hAnsi="Arial" w:cs="Arial"/>
        </w:rPr>
        <w:t xml:space="preserve">the </w:t>
      </w:r>
      <w:r w:rsidRPr="003952D1">
        <w:rPr>
          <w:rFonts w:ascii="Arial" w:hAnsi="Arial" w:cs="Arial"/>
        </w:rPr>
        <w:t xml:space="preserve">action taken </w:t>
      </w:r>
    </w:p>
    <w:p w:rsidR="00F462D2" w:rsidRPr="00F462D2" w:rsidRDefault="00F462D2" w:rsidP="00F462D2">
      <w:pPr>
        <w:pStyle w:val="ListParagraph"/>
        <w:ind w:left="644"/>
        <w:rPr>
          <w:rFonts w:ascii="Arial" w:hAnsi="Arial" w:cs="Arial"/>
        </w:rPr>
      </w:pPr>
    </w:p>
    <w:p w:rsidR="00772B9C" w:rsidRDefault="002F5C5E" w:rsidP="003952D1">
      <w:pPr>
        <w:keepNext/>
        <w:outlineLvl w:val="0"/>
        <w:rPr>
          <w:rFonts w:cs="Arial"/>
          <w:b/>
          <w:szCs w:val="22"/>
        </w:rPr>
      </w:pPr>
      <w:r w:rsidRPr="00AE7D36">
        <w:rPr>
          <w:rFonts w:cs="Arial"/>
          <w:b/>
          <w:szCs w:val="22"/>
        </w:rPr>
        <w:t>CORPORATE PRIORITIES</w:t>
      </w:r>
    </w:p>
    <w:p w:rsidR="00F462D2" w:rsidRPr="00F462D2" w:rsidRDefault="00F462D2" w:rsidP="00F462D2">
      <w:pPr>
        <w:keepNext/>
        <w:ind w:left="360"/>
        <w:outlineLvl w:val="0"/>
        <w:rPr>
          <w:rFonts w:cs="Arial"/>
          <w:b/>
          <w:szCs w:val="22"/>
        </w:rPr>
      </w:pPr>
    </w:p>
    <w:p w:rsidR="00772B9C" w:rsidRPr="00B25D02" w:rsidRDefault="00772B9C" w:rsidP="00772B9C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 w:rsidRPr="00B25D02">
        <w:rPr>
          <w:rFonts w:cs="Arial"/>
          <w:szCs w:val="22"/>
        </w:rPr>
        <w:t>The report relates to the following corporate priorities:</w:t>
      </w:r>
    </w:p>
    <w:p w:rsidR="00772B9C" w:rsidRPr="00B25D02" w:rsidRDefault="00772B9C" w:rsidP="00772B9C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C4544" w:rsidTr="000E4458">
        <w:tc>
          <w:tcPr>
            <w:tcW w:w="4423" w:type="dxa"/>
            <w:shd w:val="clear" w:color="auto" w:fill="auto"/>
          </w:tcPr>
          <w:p w:rsidR="00772B9C" w:rsidRPr="003952D1" w:rsidRDefault="00772B9C" w:rsidP="000E4458">
            <w:pPr>
              <w:rPr>
                <w:rFonts w:cs="Arial"/>
                <w:szCs w:val="22"/>
              </w:rPr>
            </w:pPr>
            <w:r w:rsidRPr="003952D1">
              <w:rPr>
                <w:rFonts w:cs="Arial"/>
                <w:szCs w:val="22"/>
              </w:rPr>
              <w:t>Excellence and Financial Sustainability</w:t>
            </w:r>
          </w:p>
          <w:p w:rsidR="00772B9C" w:rsidRPr="003952D1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F7550" w:rsidRPr="003952D1" w:rsidRDefault="00A25A6A" w:rsidP="007B14EE">
            <w:pPr>
              <w:rPr>
                <w:rFonts w:asciiTheme="minorHAnsi" w:hAnsiTheme="minorHAnsi"/>
                <w:szCs w:val="22"/>
              </w:rPr>
            </w:pPr>
            <w:r w:rsidRPr="003952D1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772B9C" w:rsidRPr="009C4544" w:rsidTr="000E4458">
        <w:tc>
          <w:tcPr>
            <w:tcW w:w="4423" w:type="dxa"/>
            <w:shd w:val="clear" w:color="auto" w:fill="auto"/>
          </w:tcPr>
          <w:p w:rsidR="00772B9C" w:rsidRPr="00F462D2" w:rsidRDefault="00772B9C" w:rsidP="000E4458">
            <w:pPr>
              <w:rPr>
                <w:rFonts w:cs="Arial"/>
                <w:szCs w:val="22"/>
              </w:rPr>
            </w:pPr>
            <w:r w:rsidRPr="00F462D2">
              <w:rPr>
                <w:rFonts w:cs="Arial"/>
                <w:szCs w:val="22"/>
              </w:rPr>
              <w:t>Health and Wellbeing</w:t>
            </w:r>
          </w:p>
          <w:p w:rsidR="00772B9C" w:rsidRPr="00F462D2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9C4544" w:rsidRDefault="00A25A6A" w:rsidP="000E4458">
            <w:pPr>
              <w:rPr>
                <w:rFonts w:asciiTheme="minorHAnsi" w:hAnsiTheme="minorHAnsi"/>
                <w:szCs w:val="22"/>
                <w:highlight w:val="yellow"/>
              </w:rPr>
            </w:pPr>
            <w:r w:rsidRPr="003952D1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772B9C" w:rsidRPr="009C4544" w:rsidTr="000E4458">
        <w:tc>
          <w:tcPr>
            <w:tcW w:w="4423" w:type="dxa"/>
            <w:shd w:val="clear" w:color="auto" w:fill="auto"/>
          </w:tcPr>
          <w:p w:rsidR="00772B9C" w:rsidRPr="00F462D2" w:rsidRDefault="00772B9C" w:rsidP="000E4458">
            <w:pPr>
              <w:rPr>
                <w:rFonts w:cs="Arial"/>
                <w:szCs w:val="22"/>
              </w:rPr>
            </w:pPr>
            <w:r w:rsidRPr="00F462D2">
              <w:rPr>
                <w:rFonts w:cs="Arial"/>
                <w:szCs w:val="22"/>
              </w:rPr>
              <w:t>Place</w:t>
            </w:r>
          </w:p>
          <w:p w:rsidR="00772B9C" w:rsidRPr="00F462D2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9C4544" w:rsidRDefault="00A25A6A" w:rsidP="000E445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</w:tbl>
    <w:p w:rsidR="00772B9C" w:rsidRPr="009C4544" w:rsidRDefault="00772B9C" w:rsidP="00772B9C">
      <w:pPr>
        <w:rPr>
          <w:rFonts w:asciiTheme="minorHAnsi" w:hAnsiTheme="minorHAnsi"/>
        </w:rPr>
      </w:pPr>
    </w:p>
    <w:p w:rsidR="00772B9C" w:rsidRPr="009C4544" w:rsidRDefault="00772B9C" w:rsidP="002F5C5E">
      <w:pPr>
        <w:rPr>
          <w:rFonts w:asciiTheme="minorHAnsi" w:hAnsiTheme="minorHAnsi"/>
          <w:szCs w:val="22"/>
        </w:rPr>
      </w:pPr>
    </w:p>
    <w:p w:rsidR="00FC6A1D" w:rsidRDefault="002F5C5E" w:rsidP="003952D1">
      <w:pPr>
        <w:rPr>
          <w:rFonts w:cs="Arial"/>
          <w:b/>
        </w:rPr>
      </w:pPr>
      <w:r w:rsidRPr="003952D1">
        <w:rPr>
          <w:rFonts w:cs="Arial"/>
          <w:b/>
        </w:rPr>
        <w:t>BACKGROUND TO THE REPORT</w:t>
      </w:r>
    </w:p>
    <w:p w:rsidR="003952D1" w:rsidRPr="003952D1" w:rsidRDefault="003952D1" w:rsidP="003952D1">
      <w:pPr>
        <w:rPr>
          <w:rFonts w:cs="Arial"/>
          <w:b/>
        </w:rPr>
      </w:pPr>
    </w:p>
    <w:p w:rsidR="007B14EE" w:rsidRDefault="007B14EE" w:rsidP="007B14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3952D1">
        <w:rPr>
          <w:rFonts w:ascii="ArialMT" w:eastAsiaTheme="minorHAnsi" w:hAnsi="ArialMT" w:cs="ArialMT"/>
        </w:rPr>
        <w:t>It is considered good practice for all Licensing Authorities to produce an annual report setting</w:t>
      </w:r>
      <w:r w:rsidR="003952D1">
        <w:rPr>
          <w:rFonts w:ascii="ArialMT" w:eastAsiaTheme="minorHAnsi" w:hAnsi="ArialMT" w:cs="ArialMT"/>
        </w:rPr>
        <w:t xml:space="preserve"> </w:t>
      </w:r>
      <w:r w:rsidRPr="003952D1">
        <w:rPr>
          <w:rFonts w:ascii="ArialMT" w:eastAsiaTheme="minorHAnsi" w:hAnsi="ArialMT" w:cs="ArialMT"/>
        </w:rPr>
        <w:t>out their achievements during the preceding 12 months. Such a document will serve the</w:t>
      </w:r>
      <w:r w:rsidR="003952D1">
        <w:rPr>
          <w:rFonts w:ascii="ArialMT" w:eastAsiaTheme="minorHAnsi" w:hAnsi="ArialMT" w:cs="ArialMT"/>
        </w:rPr>
        <w:t xml:space="preserve"> </w:t>
      </w:r>
      <w:r w:rsidRPr="003952D1">
        <w:rPr>
          <w:rFonts w:ascii="ArialMT" w:eastAsiaTheme="minorHAnsi" w:hAnsi="ArialMT" w:cs="ArialMT"/>
        </w:rPr>
        <w:t>following purposes:</w:t>
      </w:r>
    </w:p>
    <w:p w:rsidR="003952D1" w:rsidRPr="003952D1" w:rsidRDefault="003952D1" w:rsidP="003952D1">
      <w:pPr>
        <w:pStyle w:val="ListParagraph"/>
        <w:autoSpaceDE w:val="0"/>
        <w:autoSpaceDN w:val="0"/>
        <w:adjustRightInd w:val="0"/>
        <w:ind w:left="360"/>
        <w:rPr>
          <w:rFonts w:ascii="ArialMT" w:eastAsiaTheme="minorHAnsi" w:hAnsi="ArialMT" w:cs="ArialMT"/>
        </w:rPr>
      </w:pPr>
    </w:p>
    <w:p w:rsidR="003952D1" w:rsidRDefault="007B14EE" w:rsidP="003952D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3952D1">
        <w:rPr>
          <w:rFonts w:ascii="ArialMT" w:eastAsiaTheme="minorHAnsi" w:hAnsi="ArialMT" w:cs="ArialMT"/>
        </w:rPr>
        <w:t>it will act as a record of achievement, enabling members to take stock of their progress</w:t>
      </w:r>
      <w:r w:rsidR="00B33681" w:rsidRPr="003952D1">
        <w:rPr>
          <w:rFonts w:ascii="ArialMT" w:eastAsiaTheme="minorHAnsi" w:hAnsi="ArialMT" w:cs="ArialMT"/>
        </w:rPr>
        <w:t>,</w:t>
      </w:r>
      <w:r w:rsidRPr="003952D1">
        <w:rPr>
          <w:rFonts w:ascii="ArialMT" w:eastAsiaTheme="minorHAnsi" w:hAnsi="ArialMT" w:cs="ArialMT"/>
        </w:rPr>
        <w:t xml:space="preserve"> revaluate the work undertaken in the past 12 months; and</w:t>
      </w:r>
    </w:p>
    <w:p w:rsidR="003952D1" w:rsidRDefault="003952D1" w:rsidP="003952D1">
      <w:pPr>
        <w:pStyle w:val="ListParagraph"/>
        <w:autoSpaceDE w:val="0"/>
        <w:autoSpaceDN w:val="0"/>
        <w:adjustRightInd w:val="0"/>
        <w:ind w:left="1004"/>
        <w:rPr>
          <w:rFonts w:ascii="ArialMT" w:eastAsiaTheme="minorHAnsi" w:hAnsi="ArialMT" w:cs="ArialMT"/>
        </w:rPr>
      </w:pPr>
    </w:p>
    <w:p w:rsidR="003952D1" w:rsidRPr="003952D1" w:rsidRDefault="003952D1" w:rsidP="003952D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proofErr w:type="gramStart"/>
      <w:r w:rsidRPr="003952D1">
        <w:rPr>
          <w:rFonts w:ascii="ArialMT" w:eastAsiaTheme="minorHAnsi" w:hAnsi="ArialMT" w:cs="ArialMT"/>
        </w:rPr>
        <w:t>given</w:t>
      </w:r>
      <w:proofErr w:type="gramEnd"/>
      <w:r w:rsidRPr="003952D1">
        <w:rPr>
          <w:rFonts w:ascii="ArialMT" w:eastAsiaTheme="minorHAnsi" w:hAnsi="ArialMT" w:cs="ArialMT"/>
        </w:rPr>
        <w:t xml:space="preserve"> the importance of reassuring the public that persons, premises or vehicles are</w:t>
      </w:r>
      <w:r>
        <w:rPr>
          <w:rFonts w:ascii="ArialMT" w:eastAsiaTheme="minorHAnsi" w:hAnsi="ArialMT" w:cs="ArialMT"/>
        </w:rPr>
        <w:t xml:space="preserve"> </w:t>
      </w:r>
      <w:r w:rsidRPr="003952D1">
        <w:rPr>
          <w:rFonts w:ascii="ArialMT" w:eastAsiaTheme="minorHAnsi" w:hAnsi="ArialMT" w:cs="ArialMT"/>
        </w:rPr>
        <w:t>appropriately regulated, it will allow a Licensing Authority to promote its work as widely as</w:t>
      </w:r>
      <w:r>
        <w:rPr>
          <w:rFonts w:ascii="ArialMT" w:eastAsiaTheme="minorHAnsi" w:hAnsi="ArialMT" w:cs="ArialMT"/>
        </w:rPr>
        <w:t xml:space="preserve"> </w:t>
      </w:r>
      <w:r w:rsidRPr="003952D1">
        <w:rPr>
          <w:rFonts w:ascii="ArialMT" w:eastAsiaTheme="minorHAnsi" w:hAnsi="ArialMT" w:cs="ArialMT"/>
        </w:rPr>
        <w:t>members consider beneficial.</w:t>
      </w:r>
    </w:p>
    <w:p w:rsidR="007B14EE" w:rsidRPr="007B14EE" w:rsidRDefault="007B14EE" w:rsidP="003952D1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</w:p>
    <w:p w:rsidR="007B14EE" w:rsidRPr="003952D1" w:rsidRDefault="007B14EE" w:rsidP="003952D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3952D1">
        <w:rPr>
          <w:rFonts w:ascii="ArialMT" w:eastAsiaTheme="minorHAnsi" w:hAnsi="ArialMT" w:cs="ArialMT"/>
        </w:rPr>
        <w:t>The</w:t>
      </w:r>
      <w:r w:rsidR="003549D4" w:rsidRPr="003952D1">
        <w:rPr>
          <w:rFonts w:ascii="ArialMT" w:eastAsiaTheme="minorHAnsi" w:hAnsi="ArialMT" w:cs="ArialMT"/>
        </w:rPr>
        <w:t xml:space="preserve"> Licensing &amp; Public Safety Committee</w:t>
      </w:r>
      <w:r w:rsidRPr="003952D1">
        <w:rPr>
          <w:rFonts w:ascii="ArialMT" w:eastAsiaTheme="minorHAnsi" w:hAnsi="ArialMT" w:cs="ArialMT"/>
        </w:rPr>
        <w:t xml:space="preserve"> has produced an ann</w:t>
      </w:r>
      <w:r w:rsidR="00330EA3" w:rsidRPr="003952D1">
        <w:rPr>
          <w:rFonts w:ascii="ArialMT" w:eastAsiaTheme="minorHAnsi" w:hAnsi="ArialMT" w:cs="ArialMT"/>
        </w:rPr>
        <w:t xml:space="preserve">ual report for the last 2 years </w:t>
      </w:r>
      <w:r w:rsidRPr="003952D1">
        <w:rPr>
          <w:rFonts w:ascii="ArialMT" w:eastAsiaTheme="minorHAnsi" w:hAnsi="ArialMT" w:cs="ArialMT"/>
        </w:rPr>
        <w:t xml:space="preserve">which has previously been presented to full Council. </w:t>
      </w:r>
    </w:p>
    <w:p w:rsidR="007B14EE" w:rsidRDefault="007B14EE" w:rsidP="00F462D2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</w:p>
    <w:p w:rsidR="00F462D2" w:rsidRDefault="00F462D2" w:rsidP="00F462D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Cs w:val="22"/>
          <w:lang w:eastAsia="en-US"/>
        </w:rPr>
      </w:pPr>
    </w:p>
    <w:p w:rsidR="00B33681" w:rsidRDefault="00B33681" w:rsidP="003952D1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</w:rPr>
      </w:pPr>
      <w:r w:rsidRPr="003952D1">
        <w:rPr>
          <w:rFonts w:ascii="Arial-BoldMT" w:eastAsiaTheme="minorHAnsi" w:hAnsi="Arial-BoldMT" w:cs="Arial-BoldMT"/>
          <w:b/>
          <w:bCs/>
        </w:rPr>
        <w:lastRenderedPageBreak/>
        <w:t>ANNUAL REPORT 2018/19</w:t>
      </w:r>
    </w:p>
    <w:p w:rsidR="003952D1" w:rsidRPr="003952D1" w:rsidRDefault="003952D1" w:rsidP="003952D1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</w:rPr>
      </w:pPr>
    </w:p>
    <w:p w:rsidR="007B14EE" w:rsidRPr="003952D1" w:rsidRDefault="00B33681" w:rsidP="007B14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3952D1">
        <w:rPr>
          <w:rFonts w:ascii="ArialMT" w:eastAsiaTheme="minorHAnsi" w:hAnsi="ArialMT" w:cs="ArialMT"/>
        </w:rPr>
        <w:t>The draft Annual Report 2018/19</w:t>
      </w:r>
      <w:r w:rsidR="007B14EE" w:rsidRPr="003952D1">
        <w:rPr>
          <w:rFonts w:ascii="ArialMT" w:eastAsiaTheme="minorHAnsi" w:hAnsi="ArialMT" w:cs="ArialMT"/>
        </w:rPr>
        <w:t xml:space="preserve"> is attached to this report as Appendix A. The draft report</w:t>
      </w:r>
      <w:r w:rsidR="003952D1">
        <w:rPr>
          <w:rFonts w:ascii="ArialMT" w:eastAsiaTheme="minorHAnsi" w:hAnsi="ArialMT" w:cs="ArialMT"/>
        </w:rPr>
        <w:t xml:space="preserve"> </w:t>
      </w:r>
      <w:r w:rsidR="007B14EE" w:rsidRPr="003952D1">
        <w:rPr>
          <w:rFonts w:ascii="ArialMT" w:eastAsiaTheme="minorHAnsi" w:hAnsi="ArialMT" w:cs="ArialMT"/>
        </w:rPr>
        <w:t xml:space="preserve">seeks to identify and document the good work which the </w:t>
      </w:r>
      <w:r w:rsidR="003C4258" w:rsidRPr="003952D1">
        <w:rPr>
          <w:rFonts w:ascii="ArialMT" w:eastAsiaTheme="minorHAnsi" w:hAnsi="ArialMT" w:cs="ArialMT"/>
        </w:rPr>
        <w:t xml:space="preserve">Licensing &amp; Public Safety Committee </w:t>
      </w:r>
      <w:r w:rsidR="007B14EE" w:rsidRPr="003952D1">
        <w:rPr>
          <w:rFonts w:ascii="ArialMT" w:eastAsiaTheme="minorHAnsi" w:hAnsi="ArialMT" w:cs="ArialMT"/>
        </w:rPr>
        <w:t>has</w:t>
      </w:r>
      <w:r w:rsidR="003952D1">
        <w:rPr>
          <w:rFonts w:ascii="ArialMT" w:eastAsiaTheme="minorHAnsi" w:hAnsi="ArialMT" w:cs="ArialMT"/>
        </w:rPr>
        <w:t xml:space="preserve"> </w:t>
      </w:r>
      <w:r w:rsidR="007B14EE" w:rsidRPr="003952D1">
        <w:rPr>
          <w:rFonts w:ascii="ArialMT" w:eastAsiaTheme="minorHAnsi" w:hAnsi="ArialMT" w:cs="ArialMT"/>
        </w:rPr>
        <w:t>once again undertaken during the last 12 months. It covers the traditional areas of:</w:t>
      </w:r>
    </w:p>
    <w:p w:rsidR="007B14EE" w:rsidRPr="00F462D2" w:rsidRDefault="007B14EE" w:rsidP="00F462D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F462D2">
        <w:rPr>
          <w:rFonts w:ascii="ArialMT" w:eastAsiaTheme="minorHAnsi" w:hAnsi="ArialMT" w:cs="ArialMT"/>
        </w:rPr>
        <w:t>Hackney Carriage / Private Hire / licensed operators;</w:t>
      </w:r>
    </w:p>
    <w:p w:rsidR="007B14EE" w:rsidRPr="00F462D2" w:rsidRDefault="007B14EE" w:rsidP="00F462D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F462D2">
        <w:rPr>
          <w:rFonts w:ascii="ArialMT" w:eastAsiaTheme="minorHAnsi" w:hAnsi="ArialMT" w:cs="ArialMT"/>
        </w:rPr>
        <w:t>Licensing Act 2003 (liquor);</w:t>
      </w:r>
    </w:p>
    <w:p w:rsidR="007B14EE" w:rsidRPr="00F462D2" w:rsidRDefault="007B14EE" w:rsidP="00F462D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F462D2">
        <w:rPr>
          <w:rFonts w:ascii="ArialMT" w:eastAsiaTheme="minorHAnsi" w:hAnsi="ArialMT" w:cs="ArialMT"/>
        </w:rPr>
        <w:t>Gambling; and</w:t>
      </w:r>
    </w:p>
    <w:p w:rsidR="007B14EE" w:rsidRPr="00F462D2" w:rsidRDefault="007B14EE" w:rsidP="00F462D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F462D2">
        <w:rPr>
          <w:rFonts w:ascii="ArialMT" w:eastAsiaTheme="minorHAnsi" w:hAnsi="ArialMT" w:cs="ArialMT"/>
        </w:rPr>
        <w:t>Scrap Metal.</w:t>
      </w:r>
    </w:p>
    <w:p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</w:p>
    <w:p w:rsidR="007B14EE" w:rsidRPr="003952D1" w:rsidRDefault="007B14EE" w:rsidP="003952D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3952D1">
        <w:rPr>
          <w:rFonts w:ascii="ArialMT" w:eastAsiaTheme="minorHAnsi" w:hAnsi="ArialMT" w:cs="ArialMT"/>
        </w:rPr>
        <w:t xml:space="preserve"> However, this year’s report also makes reference to a relatively-untouched area of work especially around Licensed Premises and Gambling</w:t>
      </w:r>
    </w:p>
    <w:p w:rsidR="003952D1" w:rsidRDefault="003952D1" w:rsidP="00C42883">
      <w:pPr>
        <w:rPr>
          <w:rFonts w:asciiTheme="minorHAnsi" w:hAnsiTheme="minorHAnsi"/>
          <w:szCs w:val="22"/>
        </w:rPr>
      </w:pPr>
    </w:p>
    <w:p w:rsidR="00C42883" w:rsidRDefault="00C42883" w:rsidP="00C42883">
      <w:pPr>
        <w:rPr>
          <w:rFonts w:cs="Arial"/>
          <w:b/>
          <w:szCs w:val="22"/>
        </w:rPr>
      </w:pPr>
      <w:r w:rsidRPr="00AE7D36">
        <w:rPr>
          <w:rFonts w:cs="Arial"/>
          <w:b/>
          <w:szCs w:val="22"/>
        </w:rPr>
        <w:t xml:space="preserve">PROPOSALS </w:t>
      </w:r>
    </w:p>
    <w:p w:rsidR="00B33681" w:rsidRPr="009C4544" w:rsidRDefault="00B33681" w:rsidP="00C42883">
      <w:pPr>
        <w:rPr>
          <w:rFonts w:asciiTheme="minorHAnsi" w:hAnsiTheme="minorHAnsi"/>
          <w:b/>
          <w:szCs w:val="22"/>
        </w:rPr>
      </w:pPr>
    </w:p>
    <w:p w:rsidR="007B14EE" w:rsidRPr="003952D1" w:rsidRDefault="007B14EE" w:rsidP="003952D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952D1">
        <w:rPr>
          <w:rFonts w:ascii="Arial" w:hAnsi="Arial" w:cs="Arial"/>
        </w:rPr>
        <w:t xml:space="preserve">Note the contents of the report and recommend a final version put before full Council </w:t>
      </w:r>
    </w:p>
    <w:p w:rsidR="003952D1" w:rsidRPr="003952D1" w:rsidRDefault="003952D1" w:rsidP="003952D1">
      <w:pPr>
        <w:pStyle w:val="ListParagraph"/>
        <w:spacing w:after="0"/>
        <w:ind w:left="360"/>
        <w:rPr>
          <w:rFonts w:cs="Arial"/>
        </w:rPr>
      </w:pPr>
    </w:p>
    <w:p w:rsidR="00F462D2" w:rsidRDefault="00F43895" w:rsidP="003952D1">
      <w:pPr>
        <w:rPr>
          <w:rFonts w:cs="Arial"/>
          <w:b/>
          <w:caps/>
        </w:rPr>
      </w:pPr>
      <w:r w:rsidRPr="003952D1">
        <w:rPr>
          <w:rFonts w:cs="Arial"/>
          <w:b/>
          <w:caps/>
        </w:rPr>
        <w:t>Financial implications</w:t>
      </w:r>
    </w:p>
    <w:p w:rsidR="003952D1" w:rsidRPr="003952D1" w:rsidRDefault="003952D1" w:rsidP="003952D1">
      <w:pPr>
        <w:rPr>
          <w:rFonts w:cs="Arial"/>
          <w:b/>
          <w:caps/>
        </w:rPr>
      </w:pPr>
    </w:p>
    <w:p w:rsidR="00F43895" w:rsidRPr="003952D1" w:rsidRDefault="00A36FBF" w:rsidP="003952D1">
      <w:pPr>
        <w:pStyle w:val="ListParagraph"/>
        <w:numPr>
          <w:ilvl w:val="0"/>
          <w:numId w:val="8"/>
        </w:numPr>
        <w:rPr>
          <w:rFonts w:ascii="Arial" w:hAnsi="Arial" w:cs="Arial"/>
          <w:caps/>
        </w:rPr>
      </w:pPr>
      <w:r w:rsidRPr="003952D1">
        <w:rPr>
          <w:rFonts w:ascii="Arial" w:hAnsi="Arial" w:cs="Arial"/>
        </w:rPr>
        <w:t xml:space="preserve">There are no direct financial implications. </w:t>
      </w:r>
      <w:r w:rsidR="00F43895" w:rsidRPr="003952D1">
        <w:rPr>
          <w:rFonts w:cs="Arial"/>
          <w:i/>
          <w:color w:val="2E74B5"/>
        </w:rPr>
        <w:t xml:space="preserve"> </w:t>
      </w:r>
    </w:p>
    <w:p w:rsidR="00F462D2" w:rsidRDefault="00F43895" w:rsidP="003952D1">
      <w:pPr>
        <w:rPr>
          <w:rFonts w:cs="Arial"/>
          <w:b/>
          <w:caps/>
        </w:rPr>
      </w:pPr>
      <w:r w:rsidRPr="003952D1">
        <w:rPr>
          <w:rFonts w:cs="Arial"/>
          <w:b/>
          <w:caps/>
        </w:rPr>
        <w:t>LEGAL IMPLICATIONS</w:t>
      </w:r>
    </w:p>
    <w:p w:rsidR="003952D1" w:rsidRPr="003952D1" w:rsidRDefault="003952D1" w:rsidP="003952D1">
      <w:pPr>
        <w:rPr>
          <w:rFonts w:cs="Arial"/>
          <w:b/>
          <w:caps/>
        </w:rPr>
      </w:pPr>
    </w:p>
    <w:p w:rsidR="00A25A6A" w:rsidRPr="00F462D2" w:rsidRDefault="00A25A6A" w:rsidP="003952D1">
      <w:pPr>
        <w:pStyle w:val="Heading1"/>
        <w:numPr>
          <w:ilvl w:val="0"/>
          <w:numId w:val="8"/>
        </w:numPr>
        <w:rPr>
          <w:rFonts w:cs="Arial"/>
          <w:b w:val="0"/>
        </w:rPr>
      </w:pPr>
      <w:r w:rsidRPr="00F462D2">
        <w:rPr>
          <w:rFonts w:cs="Arial"/>
          <w:b w:val="0"/>
        </w:rPr>
        <w:t xml:space="preserve">There are no direct legal implications. </w:t>
      </w:r>
    </w:p>
    <w:p w:rsidR="004A36DA" w:rsidRPr="00F462D2" w:rsidRDefault="004A36DA" w:rsidP="00F43895">
      <w:pPr>
        <w:rPr>
          <w:rFonts w:cs="Arial"/>
          <w:b/>
          <w:caps/>
        </w:rPr>
      </w:pPr>
    </w:p>
    <w:p w:rsidR="00F462D2" w:rsidRDefault="00F43895" w:rsidP="003952D1">
      <w:pPr>
        <w:rPr>
          <w:rFonts w:cs="Arial"/>
          <w:b/>
        </w:rPr>
      </w:pPr>
      <w:r w:rsidRPr="003952D1">
        <w:rPr>
          <w:rFonts w:cs="Arial"/>
          <w:b/>
        </w:rPr>
        <w:t>COMMENTS OF THE STATUTORY FINANCE OFFICER</w:t>
      </w:r>
    </w:p>
    <w:p w:rsidR="003952D1" w:rsidRPr="003952D1" w:rsidRDefault="003952D1" w:rsidP="003952D1">
      <w:pPr>
        <w:rPr>
          <w:rFonts w:cs="Arial"/>
          <w:b/>
        </w:rPr>
      </w:pPr>
    </w:p>
    <w:p w:rsidR="00BE2A3F" w:rsidRPr="003952D1" w:rsidRDefault="00A36FBF" w:rsidP="003952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52D1">
        <w:rPr>
          <w:rFonts w:ascii="Arial" w:hAnsi="Arial" w:cs="Arial"/>
        </w:rPr>
        <w:t>The report is for information and has no financial implications.</w:t>
      </w:r>
      <w:r w:rsidR="00FF6034" w:rsidRPr="003952D1">
        <w:rPr>
          <w:rFonts w:ascii="Arial" w:hAnsi="Arial" w:cs="Arial"/>
        </w:rPr>
        <w:t xml:space="preserve"> The budget outturn report to Cabinet in June will include information in relation to income received in relation to the licensing services in the financial year 2018/19.</w:t>
      </w:r>
    </w:p>
    <w:p w:rsidR="00F43895" w:rsidRPr="00F462D2" w:rsidRDefault="00BE2A3F" w:rsidP="00EA28EF">
      <w:pPr>
        <w:ind w:left="720" w:hanging="720"/>
        <w:rPr>
          <w:rFonts w:cs="Arial"/>
          <w:b/>
          <w:i/>
        </w:rPr>
      </w:pPr>
      <w:r w:rsidRPr="00F462D2">
        <w:rPr>
          <w:rFonts w:cs="Arial"/>
        </w:rPr>
        <w:t xml:space="preserve">   </w:t>
      </w:r>
    </w:p>
    <w:p w:rsidR="003952D1" w:rsidRDefault="00F43895" w:rsidP="003952D1">
      <w:pPr>
        <w:rPr>
          <w:rFonts w:cs="Arial"/>
          <w:b/>
        </w:rPr>
      </w:pPr>
      <w:r w:rsidRPr="003952D1">
        <w:rPr>
          <w:rFonts w:cs="Arial"/>
          <w:b/>
        </w:rPr>
        <w:t>COMMENTS OF THE MONITORING OFFICER</w:t>
      </w:r>
    </w:p>
    <w:p w:rsidR="003952D1" w:rsidRPr="003952D1" w:rsidRDefault="003952D1" w:rsidP="003952D1">
      <w:pPr>
        <w:rPr>
          <w:rFonts w:cs="Arial"/>
          <w:b/>
        </w:rPr>
      </w:pPr>
    </w:p>
    <w:p w:rsidR="00F462D2" w:rsidRPr="003952D1" w:rsidRDefault="00A25A6A" w:rsidP="003952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52D1">
        <w:rPr>
          <w:rFonts w:ascii="Arial" w:hAnsi="Arial" w:cs="Arial"/>
        </w:rPr>
        <w:t>Please see the comments at Para 8.1</w:t>
      </w:r>
    </w:p>
    <w:p w:rsidR="00A25A6A" w:rsidRPr="00F462D2" w:rsidRDefault="00A25A6A" w:rsidP="00BE2A3F">
      <w:pPr>
        <w:rPr>
          <w:rFonts w:cs="Arial"/>
          <w:b/>
        </w:rPr>
      </w:pPr>
    </w:p>
    <w:p w:rsidR="003C36EB" w:rsidRPr="003952D1" w:rsidRDefault="00F462D2" w:rsidP="003952D1">
      <w:pPr>
        <w:rPr>
          <w:rFonts w:cs="Arial"/>
          <w:b/>
        </w:rPr>
      </w:pPr>
      <w:r w:rsidRPr="003952D1">
        <w:rPr>
          <w:rFonts w:cs="Arial"/>
          <w:b/>
        </w:rPr>
        <w:t>OTHER IMPLICATIONS: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A36FBF" w:rsidTr="009C1143">
        <w:trPr>
          <w:trHeight w:val="334"/>
        </w:trPr>
        <w:tc>
          <w:tcPr>
            <w:tcW w:w="3544" w:type="dxa"/>
            <w:shd w:val="clear" w:color="auto" w:fill="auto"/>
          </w:tcPr>
          <w:p w:rsidR="002F5C5E" w:rsidRPr="00AE7D36" w:rsidRDefault="002F5C5E" w:rsidP="00AC4A99">
            <w:pPr>
              <w:rPr>
                <w:rFonts w:cs="Arial"/>
                <w:b/>
                <w:szCs w:val="22"/>
              </w:rPr>
            </w:pPr>
          </w:p>
          <w:p w:rsidR="00A56681" w:rsidRPr="00AE7D36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:rsidR="00A56681" w:rsidRPr="00AE7D36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:rsidR="00A56681" w:rsidRPr="00AE7D36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>ICT / Technology</w:t>
            </w:r>
          </w:p>
          <w:p w:rsidR="002F5C5E" w:rsidRPr="00AE7D36" w:rsidRDefault="002F5C5E" w:rsidP="00A56681">
            <w:pPr>
              <w:ind w:left="360"/>
              <w:rPr>
                <w:rFonts w:cs="Arial"/>
                <w:b/>
                <w:szCs w:val="22"/>
              </w:rPr>
            </w:pPr>
          </w:p>
          <w:p w:rsidR="002F5C5E" w:rsidRPr="00AE7D36" w:rsidRDefault="002F5C5E" w:rsidP="0047741D">
            <w:pPr>
              <w:rPr>
                <w:rFonts w:cs="Arial"/>
                <w:b/>
                <w:szCs w:val="22"/>
              </w:rPr>
            </w:pPr>
          </w:p>
          <w:p w:rsidR="00A56681" w:rsidRPr="00AE7D36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>Property &amp; Asset Management</w:t>
            </w:r>
          </w:p>
          <w:p w:rsidR="00A56681" w:rsidRPr="00AE7D36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:rsidR="002F5C5E" w:rsidRPr="00AE7D36" w:rsidRDefault="00A56681" w:rsidP="0047741D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 xml:space="preserve">Risk </w:t>
            </w:r>
          </w:p>
          <w:p w:rsidR="003C36EB" w:rsidRPr="00AE7D36" w:rsidRDefault="003C36EB" w:rsidP="0047741D">
            <w:pPr>
              <w:rPr>
                <w:rFonts w:cs="Arial"/>
                <w:b/>
                <w:szCs w:val="22"/>
              </w:rPr>
            </w:pPr>
          </w:p>
          <w:p w:rsidR="002F5C5E" w:rsidRPr="00AE7D36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 xml:space="preserve">Equality &amp; Diversity </w:t>
            </w:r>
          </w:p>
          <w:p w:rsidR="00A56681" w:rsidRPr="00AE7D36" w:rsidRDefault="00A56681" w:rsidP="00A56681">
            <w:pPr>
              <w:rPr>
                <w:rFonts w:cs="Arial"/>
                <w:b/>
                <w:szCs w:val="22"/>
              </w:rPr>
            </w:pPr>
          </w:p>
          <w:p w:rsidR="002F5C5E" w:rsidRPr="00AE7D36" w:rsidRDefault="002F5C5E" w:rsidP="008639CE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F5C5E" w:rsidRPr="00AE7D36" w:rsidRDefault="002F5C5E" w:rsidP="00AC4A99">
            <w:pPr>
              <w:rPr>
                <w:rFonts w:cs="Arial"/>
                <w:szCs w:val="22"/>
              </w:rPr>
            </w:pPr>
          </w:p>
          <w:p w:rsidR="00F43895" w:rsidRPr="00F462D2" w:rsidRDefault="00A25A6A" w:rsidP="00AC4A99">
            <w:pPr>
              <w:rPr>
                <w:rFonts w:cs="Arial"/>
                <w:i/>
                <w:szCs w:val="22"/>
              </w:rPr>
            </w:pPr>
            <w:r w:rsidRPr="00F462D2">
              <w:rPr>
                <w:rFonts w:cs="Arial"/>
                <w:i/>
                <w:szCs w:val="22"/>
              </w:rPr>
              <w:t>None identified</w:t>
            </w: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  <w:r w:rsidRPr="00F462D2">
              <w:rPr>
                <w:rFonts w:cs="Arial"/>
                <w:i/>
                <w:szCs w:val="22"/>
              </w:rPr>
              <w:t>None identified</w:t>
            </w: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  <w:r w:rsidRPr="00F462D2">
              <w:rPr>
                <w:rFonts w:cs="Arial"/>
                <w:i/>
                <w:szCs w:val="22"/>
              </w:rPr>
              <w:t>None identified</w:t>
            </w: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  <w:r w:rsidRPr="00F462D2">
              <w:rPr>
                <w:rFonts w:cs="Arial"/>
                <w:i/>
                <w:szCs w:val="22"/>
              </w:rPr>
              <w:t>None identified</w:t>
            </w:r>
          </w:p>
          <w:p w:rsidR="00A25A6A" w:rsidRPr="00F462D2" w:rsidRDefault="00A25A6A" w:rsidP="00AC4A99">
            <w:pPr>
              <w:rPr>
                <w:rFonts w:cs="Arial"/>
                <w:i/>
                <w:szCs w:val="22"/>
              </w:rPr>
            </w:pPr>
          </w:p>
          <w:p w:rsidR="00A25A6A" w:rsidRPr="00AE7D36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 w:rsidRPr="00F462D2">
              <w:rPr>
                <w:rFonts w:cs="Arial"/>
                <w:i/>
                <w:szCs w:val="22"/>
              </w:rPr>
              <w:t xml:space="preserve">None identified </w:t>
            </w:r>
          </w:p>
        </w:tc>
      </w:tr>
    </w:tbl>
    <w:p w:rsidR="00A36FBF" w:rsidRDefault="00A36FBF" w:rsidP="002F5C5E">
      <w:pPr>
        <w:rPr>
          <w:rFonts w:cs="Arial"/>
          <w:b/>
          <w:szCs w:val="22"/>
        </w:rPr>
      </w:pPr>
    </w:p>
    <w:p w:rsidR="003952D1" w:rsidRDefault="003952D1" w:rsidP="002F5C5E">
      <w:pPr>
        <w:rPr>
          <w:rFonts w:cs="Arial"/>
          <w:b/>
          <w:szCs w:val="22"/>
        </w:rPr>
      </w:pPr>
    </w:p>
    <w:p w:rsidR="002F5C5E" w:rsidRDefault="000B5251" w:rsidP="002F5C5E">
      <w:pPr>
        <w:rPr>
          <w:rFonts w:cs="Arial"/>
          <w:b/>
          <w:szCs w:val="22"/>
        </w:rPr>
      </w:pPr>
      <w:bookmarkStart w:id="0" w:name="_GoBack"/>
      <w:bookmarkEnd w:id="0"/>
      <w:r w:rsidRPr="00AE7D36">
        <w:rPr>
          <w:rFonts w:cs="Arial"/>
          <w:b/>
          <w:szCs w:val="22"/>
        </w:rPr>
        <w:lastRenderedPageBreak/>
        <w:t xml:space="preserve">BACKGROUND DOCUMENTS </w:t>
      </w:r>
    </w:p>
    <w:p w:rsidR="007B14EE" w:rsidRPr="00AE7D36" w:rsidRDefault="007B14EE" w:rsidP="002F5C5E">
      <w:pPr>
        <w:rPr>
          <w:rFonts w:cs="Arial"/>
          <w:b/>
          <w:szCs w:val="22"/>
        </w:rPr>
      </w:pPr>
    </w:p>
    <w:p w:rsidR="000B5251" w:rsidRDefault="007B14EE" w:rsidP="002F5C5E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29214E">
        <w:rPr>
          <w:rFonts w:cs="Arial"/>
          <w:szCs w:val="22"/>
        </w:rPr>
        <w:t>udit Report</w:t>
      </w:r>
    </w:p>
    <w:p w:rsidR="007B14EE" w:rsidRDefault="007B14EE" w:rsidP="002F5C5E">
      <w:pPr>
        <w:rPr>
          <w:rFonts w:cs="Arial"/>
          <w:szCs w:val="22"/>
        </w:rPr>
      </w:pPr>
      <w:r>
        <w:rPr>
          <w:rFonts w:cs="Arial"/>
          <w:szCs w:val="22"/>
        </w:rPr>
        <w:t>Yearly Forward Plan</w:t>
      </w:r>
      <w:r w:rsidR="0029214E">
        <w:rPr>
          <w:rFonts w:cs="Arial"/>
          <w:szCs w:val="22"/>
        </w:rPr>
        <w:t xml:space="preserve"> 2018/2019</w:t>
      </w:r>
    </w:p>
    <w:p w:rsidR="007B14EE" w:rsidRPr="00AE7D36" w:rsidRDefault="007B14EE" w:rsidP="002F5C5E">
      <w:pPr>
        <w:rPr>
          <w:rFonts w:cs="Arial"/>
          <w:szCs w:val="22"/>
        </w:rPr>
      </w:pPr>
    </w:p>
    <w:p w:rsidR="000B5251" w:rsidRDefault="000B5251" w:rsidP="000B5251">
      <w:pPr>
        <w:rPr>
          <w:rFonts w:cs="Arial"/>
          <w:b/>
        </w:rPr>
      </w:pPr>
      <w:r w:rsidRPr="00AE7D36">
        <w:rPr>
          <w:rFonts w:cs="Arial"/>
          <w:b/>
        </w:rPr>
        <w:t xml:space="preserve">APPENDICES </w:t>
      </w:r>
    </w:p>
    <w:p w:rsidR="00A36FBF" w:rsidRDefault="00A36FBF" w:rsidP="000B5251">
      <w:pPr>
        <w:rPr>
          <w:rFonts w:cs="Arial"/>
          <w:b/>
        </w:rPr>
      </w:pPr>
    </w:p>
    <w:p w:rsidR="00A36FBF" w:rsidRPr="0029214E" w:rsidRDefault="007B14EE" w:rsidP="000B5251">
      <w:pPr>
        <w:rPr>
          <w:rFonts w:cs="Arial"/>
        </w:rPr>
      </w:pPr>
      <w:r w:rsidRPr="0029214E">
        <w:rPr>
          <w:rFonts w:cs="Arial"/>
        </w:rPr>
        <w:t xml:space="preserve">Appendix </w:t>
      </w:r>
      <w:r w:rsidR="003952D1">
        <w:rPr>
          <w:rFonts w:cs="Arial"/>
        </w:rPr>
        <w:t>1</w:t>
      </w:r>
      <w:r w:rsidRPr="0029214E">
        <w:rPr>
          <w:rFonts w:cs="Arial"/>
        </w:rPr>
        <w:t xml:space="preserve"> </w:t>
      </w:r>
      <w:r w:rsidR="0029214E">
        <w:rPr>
          <w:rFonts w:cs="Arial"/>
        </w:rPr>
        <w:t xml:space="preserve">- </w:t>
      </w:r>
      <w:r w:rsidRPr="0029214E">
        <w:rPr>
          <w:rFonts w:cs="Arial"/>
        </w:rPr>
        <w:t>Annual Report</w:t>
      </w:r>
      <w:r w:rsidR="00A36FBF" w:rsidRPr="0029214E">
        <w:rPr>
          <w:rFonts w:cs="Arial"/>
        </w:rPr>
        <w:t xml:space="preserve"> </w:t>
      </w:r>
    </w:p>
    <w:p w:rsidR="00EA28EF" w:rsidRPr="00AE7D36" w:rsidRDefault="00EA28EF" w:rsidP="000B5251">
      <w:pPr>
        <w:rPr>
          <w:rFonts w:cs="Arial"/>
          <w:b/>
        </w:rPr>
      </w:pPr>
    </w:p>
    <w:p w:rsidR="001C5E49" w:rsidRPr="00F462D2" w:rsidRDefault="001C5E49" w:rsidP="00F462D2">
      <w:pPr>
        <w:rPr>
          <w:rFonts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1555"/>
        <w:gridCol w:w="2350"/>
      </w:tblGrid>
      <w:tr w:rsidR="001C5E49" w:rsidRPr="00A36FBF" w:rsidTr="00EA28EF">
        <w:tc>
          <w:tcPr>
            <w:tcW w:w="5615" w:type="dxa"/>
            <w:shd w:val="clear" w:color="auto" w:fill="auto"/>
          </w:tcPr>
          <w:p w:rsidR="001C5E49" w:rsidRPr="00AE7D36" w:rsidRDefault="001C5E49" w:rsidP="00E2196F">
            <w:pPr>
              <w:rPr>
                <w:rFonts w:cs="Arial"/>
              </w:rPr>
            </w:pPr>
            <w:r w:rsidRPr="00AE7D36">
              <w:rPr>
                <w:rFonts w:cs="Arial"/>
              </w:rPr>
              <w:t>Report Author:</w:t>
            </w:r>
          </w:p>
        </w:tc>
        <w:tc>
          <w:tcPr>
            <w:tcW w:w="1555" w:type="dxa"/>
            <w:shd w:val="clear" w:color="auto" w:fill="auto"/>
          </w:tcPr>
          <w:p w:rsidR="001C5E49" w:rsidRPr="00AE7D36" w:rsidRDefault="001C5E49" w:rsidP="00E2196F">
            <w:pPr>
              <w:rPr>
                <w:rFonts w:cs="Arial"/>
              </w:rPr>
            </w:pPr>
            <w:r w:rsidRPr="00AE7D36">
              <w:rPr>
                <w:rFonts w:cs="Arial"/>
              </w:rPr>
              <w:t>Telephone:</w:t>
            </w:r>
          </w:p>
        </w:tc>
        <w:tc>
          <w:tcPr>
            <w:tcW w:w="2350" w:type="dxa"/>
            <w:shd w:val="clear" w:color="auto" w:fill="auto"/>
          </w:tcPr>
          <w:p w:rsidR="001C5E49" w:rsidRPr="00AE7D36" w:rsidRDefault="001C5E49" w:rsidP="00E2196F">
            <w:pPr>
              <w:rPr>
                <w:rFonts w:cs="Arial"/>
              </w:rPr>
            </w:pPr>
            <w:r w:rsidRPr="00AE7D36">
              <w:rPr>
                <w:rFonts w:cs="Arial"/>
              </w:rPr>
              <w:t>Date:</w:t>
            </w:r>
          </w:p>
        </w:tc>
      </w:tr>
      <w:tr w:rsidR="00C903AC" w:rsidRPr="00A36FBF" w:rsidTr="00EA28EF">
        <w:tc>
          <w:tcPr>
            <w:tcW w:w="5615" w:type="dxa"/>
            <w:shd w:val="clear" w:color="auto" w:fill="auto"/>
          </w:tcPr>
          <w:p w:rsidR="00C903AC" w:rsidRPr="00AE7D36" w:rsidRDefault="008639CE" w:rsidP="008639CE">
            <w:pPr>
              <w:rPr>
                <w:rFonts w:cs="Arial"/>
              </w:rPr>
            </w:pPr>
            <w:r w:rsidRPr="00AE7D36">
              <w:rPr>
                <w:rFonts w:cs="Arial"/>
              </w:rPr>
              <w:t>Mark Marshall</w:t>
            </w:r>
            <w:r w:rsidR="0029214E">
              <w:rPr>
                <w:rFonts w:cs="Arial"/>
              </w:rPr>
              <w:t>, Head of Licensing</w:t>
            </w:r>
          </w:p>
        </w:tc>
        <w:tc>
          <w:tcPr>
            <w:tcW w:w="1555" w:type="dxa"/>
            <w:shd w:val="clear" w:color="auto" w:fill="auto"/>
          </w:tcPr>
          <w:p w:rsidR="00C903AC" w:rsidRPr="00AE7D36" w:rsidRDefault="008639CE" w:rsidP="00C903AC">
            <w:pPr>
              <w:rPr>
                <w:rFonts w:cs="Arial"/>
              </w:rPr>
            </w:pPr>
            <w:r w:rsidRPr="00AE7D36">
              <w:rPr>
                <w:rFonts w:cs="Arial"/>
              </w:rPr>
              <w:t>01772 62</w:t>
            </w:r>
            <w:r w:rsidR="00EA28EF" w:rsidRPr="00AE7D36">
              <w:rPr>
                <w:rFonts w:cs="Arial"/>
              </w:rPr>
              <w:t>5401</w:t>
            </w:r>
          </w:p>
        </w:tc>
        <w:tc>
          <w:tcPr>
            <w:tcW w:w="2350" w:type="dxa"/>
            <w:shd w:val="clear" w:color="auto" w:fill="auto"/>
          </w:tcPr>
          <w:p w:rsidR="00C903AC" w:rsidRPr="00AE7D36" w:rsidRDefault="0029214E" w:rsidP="00C903AC">
            <w:pPr>
              <w:rPr>
                <w:rFonts w:cs="Arial"/>
              </w:rPr>
            </w:pPr>
            <w:r>
              <w:rPr>
                <w:rFonts w:cs="Arial"/>
              </w:rPr>
              <w:t>31 May 2019</w:t>
            </w:r>
          </w:p>
        </w:tc>
      </w:tr>
    </w:tbl>
    <w:p w:rsidR="001C5E49" w:rsidRPr="00AE7D36" w:rsidRDefault="001C5E49" w:rsidP="001C5E49">
      <w:pPr>
        <w:tabs>
          <w:tab w:val="left" w:pos="2839"/>
        </w:tabs>
        <w:rPr>
          <w:rFonts w:cs="Arial"/>
        </w:rPr>
      </w:pPr>
    </w:p>
    <w:sectPr w:rsidR="001C5E49" w:rsidRPr="00AE7D36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E4" w:rsidRDefault="00CE76E4">
      <w:r>
        <w:separator/>
      </w:r>
    </w:p>
  </w:endnote>
  <w:endnote w:type="continuationSeparator" w:id="0">
    <w:p w:rsidR="00CE76E4" w:rsidRDefault="00CE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3952D1">
      <w:rPr>
        <w:noProof/>
        <w:sz w:val="24"/>
      </w:rPr>
      <w:t>2</w:t>
    </w:r>
    <w:r w:rsidRPr="00FD7B65">
      <w:rPr>
        <w:noProof/>
        <w:sz w:val="24"/>
      </w:rPr>
      <w:fldChar w:fldCharType="end"/>
    </w:r>
  </w:p>
  <w:p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E4" w:rsidRDefault="00CE76E4">
      <w:r>
        <w:separator/>
      </w:r>
    </w:p>
  </w:footnote>
  <w:footnote w:type="continuationSeparator" w:id="0">
    <w:p w:rsidR="00CE76E4" w:rsidRDefault="00CE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8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B727593"/>
    <w:multiLevelType w:val="hybridMultilevel"/>
    <w:tmpl w:val="54B05F02"/>
    <w:lvl w:ilvl="0" w:tplc="EBA2268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1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071F68"/>
    <w:multiLevelType w:val="hybridMultilevel"/>
    <w:tmpl w:val="6DE6959A"/>
    <w:lvl w:ilvl="0" w:tplc="E2A8E00A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65A6A"/>
    <w:multiLevelType w:val="hybridMultilevel"/>
    <w:tmpl w:val="ABA8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521B"/>
    <w:multiLevelType w:val="hybridMultilevel"/>
    <w:tmpl w:val="51F2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0"/>
  </w:num>
  <w:num w:numId="14">
    <w:abstractNumId w:val="18"/>
  </w:num>
  <w:num w:numId="15">
    <w:abstractNumId w:val="7"/>
  </w:num>
  <w:num w:numId="16">
    <w:abstractNumId w:val="15"/>
  </w:num>
  <w:num w:numId="17">
    <w:abstractNumId w:val="1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6DD3"/>
    <w:rsid w:val="00025DED"/>
    <w:rsid w:val="00047F24"/>
    <w:rsid w:val="00052B5A"/>
    <w:rsid w:val="00077A35"/>
    <w:rsid w:val="000917D6"/>
    <w:rsid w:val="000A71F4"/>
    <w:rsid w:val="000B5251"/>
    <w:rsid w:val="000E10FE"/>
    <w:rsid w:val="000F2C8A"/>
    <w:rsid w:val="001544DD"/>
    <w:rsid w:val="00173D89"/>
    <w:rsid w:val="00184E1D"/>
    <w:rsid w:val="001938D6"/>
    <w:rsid w:val="001A7FAA"/>
    <w:rsid w:val="001B5FEB"/>
    <w:rsid w:val="001C5E49"/>
    <w:rsid w:val="001E323B"/>
    <w:rsid w:val="001E4B07"/>
    <w:rsid w:val="001F5A1E"/>
    <w:rsid w:val="00207EF2"/>
    <w:rsid w:val="002221BD"/>
    <w:rsid w:val="0025591B"/>
    <w:rsid w:val="002820A5"/>
    <w:rsid w:val="0029214E"/>
    <w:rsid w:val="002B2179"/>
    <w:rsid w:val="002B2958"/>
    <w:rsid w:val="002E277F"/>
    <w:rsid w:val="002E4FF4"/>
    <w:rsid w:val="002F5C5E"/>
    <w:rsid w:val="003147A5"/>
    <w:rsid w:val="00330EA3"/>
    <w:rsid w:val="00341A52"/>
    <w:rsid w:val="00342AB1"/>
    <w:rsid w:val="00345C71"/>
    <w:rsid w:val="003549D4"/>
    <w:rsid w:val="00386AAD"/>
    <w:rsid w:val="003902A2"/>
    <w:rsid w:val="003952D1"/>
    <w:rsid w:val="003A1B3F"/>
    <w:rsid w:val="003A1F0B"/>
    <w:rsid w:val="003A23D3"/>
    <w:rsid w:val="003A2919"/>
    <w:rsid w:val="003A53BC"/>
    <w:rsid w:val="003A6BFE"/>
    <w:rsid w:val="003B1E6D"/>
    <w:rsid w:val="003C36EB"/>
    <w:rsid w:val="003C4258"/>
    <w:rsid w:val="003E33E6"/>
    <w:rsid w:val="003F5603"/>
    <w:rsid w:val="00405D4A"/>
    <w:rsid w:val="004218EA"/>
    <w:rsid w:val="00431130"/>
    <w:rsid w:val="00442C46"/>
    <w:rsid w:val="00474DA8"/>
    <w:rsid w:val="0047741D"/>
    <w:rsid w:val="004A36DA"/>
    <w:rsid w:val="004A45D4"/>
    <w:rsid w:val="004C0685"/>
    <w:rsid w:val="004D7260"/>
    <w:rsid w:val="004F23B3"/>
    <w:rsid w:val="005041BB"/>
    <w:rsid w:val="00525728"/>
    <w:rsid w:val="00533525"/>
    <w:rsid w:val="00547120"/>
    <w:rsid w:val="00547481"/>
    <w:rsid w:val="00576A82"/>
    <w:rsid w:val="0058792F"/>
    <w:rsid w:val="005A26AD"/>
    <w:rsid w:val="005B0C36"/>
    <w:rsid w:val="005D4F59"/>
    <w:rsid w:val="0060374B"/>
    <w:rsid w:val="006206A5"/>
    <w:rsid w:val="00630F86"/>
    <w:rsid w:val="00633396"/>
    <w:rsid w:val="00633DEC"/>
    <w:rsid w:val="00645A0B"/>
    <w:rsid w:val="006526B4"/>
    <w:rsid w:val="006555E6"/>
    <w:rsid w:val="00670423"/>
    <w:rsid w:val="00672165"/>
    <w:rsid w:val="00676953"/>
    <w:rsid w:val="006879CA"/>
    <w:rsid w:val="006B645E"/>
    <w:rsid w:val="006B7116"/>
    <w:rsid w:val="006C04C1"/>
    <w:rsid w:val="006C209A"/>
    <w:rsid w:val="006E09FB"/>
    <w:rsid w:val="006F2214"/>
    <w:rsid w:val="006F4CB4"/>
    <w:rsid w:val="006F76A3"/>
    <w:rsid w:val="00707E99"/>
    <w:rsid w:val="00712E3F"/>
    <w:rsid w:val="00713C35"/>
    <w:rsid w:val="00735025"/>
    <w:rsid w:val="00772B9C"/>
    <w:rsid w:val="00791954"/>
    <w:rsid w:val="00792A2B"/>
    <w:rsid w:val="007B14EE"/>
    <w:rsid w:val="007B4F12"/>
    <w:rsid w:val="007E39F1"/>
    <w:rsid w:val="00801695"/>
    <w:rsid w:val="008639CE"/>
    <w:rsid w:val="00893AD2"/>
    <w:rsid w:val="008A2F6B"/>
    <w:rsid w:val="008A42E3"/>
    <w:rsid w:val="008A77AB"/>
    <w:rsid w:val="008B41C5"/>
    <w:rsid w:val="008C3B1A"/>
    <w:rsid w:val="008D623F"/>
    <w:rsid w:val="008F4B91"/>
    <w:rsid w:val="008F7550"/>
    <w:rsid w:val="0090542C"/>
    <w:rsid w:val="00914AB1"/>
    <w:rsid w:val="009350CB"/>
    <w:rsid w:val="009538AE"/>
    <w:rsid w:val="00980267"/>
    <w:rsid w:val="00983CD5"/>
    <w:rsid w:val="00992E79"/>
    <w:rsid w:val="009A714A"/>
    <w:rsid w:val="009C1143"/>
    <w:rsid w:val="009C4544"/>
    <w:rsid w:val="009E48E0"/>
    <w:rsid w:val="00A1406A"/>
    <w:rsid w:val="00A22D02"/>
    <w:rsid w:val="00A25A6A"/>
    <w:rsid w:val="00A30426"/>
    <w:rsid w:val="00A36FBF"/>
    <w:rsid w:val="00A42C81"/>
    <w:rsid w:val="00A4702E"/>
    <w:rsid w:val="00A50754"/>
    <w:rsid w:val="00A56681"/>
    <w:rsid w:val="00A76482"/>
    <w:rsid w:val="00AC2185"/>
    <w:rsid w:val="00AC4A99"/>
    <w:rsid w:val="00AE1282"/>
    <w:rsid w:val="00AE7D36"/>
    <w:rsid w:val="00B05FE8"/>
    <w:rsid w:val="00B1788B"/>
    <w:rsid w:val="00B25D02"/>
    <w:rsid w:val="00B33005"/>
    <w:rsid w:val="00B33681"/>
    <w:rsid w:val="00B41C7A"/>
    <w:rsid w:val="00B443DD"/>
    <w:rsid w:val="00B478D3"/>
    <w:rsid w:val="00B51DB8"/>
    <w:rsid w:val="00B62D79"/>
    <w:rsid w:val="00B70B91"/>
    <w:rsid w:val="00B716F5"/>
    <w:rsid w:val="00B72A06"/>
    <w:rsid w:val="00B766C4"/>
    <w:rsid w:val="00B844C7"/>
    <w:rsid w:val="00B92298"/>
    <w:rsid w:val="00BA2606"/>
    <w:rsid w:val="00BB6DCE"/>
    <w:rsid w:val="00BC2417"/>
    <w:rsid w:val="00BC6635"/>
    <w:rsid w:val="00BE2A3F"/>
    <w:rsid w:val="00C013AD"/>
    <w:rsid w:val="00C022F9"/>
    <w:rsid w:val="00C1070C"/>
    <w:rsid w:val="00C209E3"/>
    <w:rsid w:val="00C2786F"/>
    <w:rsid w:val="00C30128"/>
    <w:rsid w:val="00C35FBD"/>
    <w:rsid w:val="00C42883"/>
    <w:rsid w:val="00C4454E"/>
    <w:rsid w:val="00C52450"/>
    <w:rsid w:val="00C53DF0"/>
    <w:rsid w:val="00C64ED1"/>
    <w:rsid w:val="00C66BAA"/>
    <w:rsid w:val="00C903AC"/>
    <w:rsid w:val="00CB32DF"/>
    <w:rsid w:val="00CB7C90"/>
    <w:rsid w:val="00CC3246"/>
    <w:rsid w:val="00CD6D16"/>
    <w:rsid w:val="00CE3DA1"/>
    <w:rsid w:val="00CE4482"/>
    <w:rsid w:val="00CE76E4"/>
    <w:rsid w:val="00CF30BB"/>
    <w:rsid w:val="00CF6B60"/>
    <w:rsid w:val="00D03328"/>
    <w:rsid w:val="00D0463D"/>
    <w:rsid w:val="00D3426C"/>
    <w:rsid w:val="00D36638"/>
    <w:rsid w:val="00D37BAE"/>
    <w:rsid w:val="00D72071"/>
    <w:rsid w:val="00D772AB"/>
    <w:rsid w:val="00D90A00"/>
    <w:rsid w:val="00D91845"/>
    <w:rsid w:val="00D9371C"/>
    <w:rsid w:val="00DB3FD0"/>
    <w:rsid w:val="00DE5E12"/>
    <w:rsid w:val="00E16646"/>
    <w:rsid w:val="00E2196F"/>
    <w:rsid w:val="00E2276E"/>
    <w:rsid w:val="00E41950"/>
    <w:rsid w:val="00E569CB"/>
    <w:rsid w:val="00E577A2"/>
    <w:rsid w:val="00E60A53"/>
    <w:rsid w:val="00E63940"/>
    <w:rsid w:val="00E67FB4"/>
    <w:rsid w:val="00E733A5"/>
    <w:rsid w:val="00E753EC"/>
    <w:rsid w:val="00E772B8"/>
    <w:rsid w:val="00E84459"/>
    <w:rsid w:val="00E971A2"/>
    <w:rsid w:val="00EA28EF"/>
    <w:rsid w:val="00EB0249"/>
    <w:rsid w:val="00EB2D32"/>
    <w:rsid w:val="00EB7C94"/>
    <w:rsid w:val="00ED257A"/>
    <w:rsid w:val="00ED6719"/>
    <w:rsid w:val="00EE2B78"/>
    <w:rsid w:val="00EF52A4"/>
    <w:rsid w:val="00F12001"/>
    <w:rsid w:val="00F3057A"/>
    <w:rsid w:val="00F30E9C"/>
    <w:rsid w:val="00F43895"/>
    <w:rsid w:val="00F462D2"/>
    <w:rsid w:val="00F55E4D"/>
    <w:rsid w:val="00F61752"/>
    <w:rsid w:val="00F67F95"/>
    <w:rsid w:val="00F96ABC"/>
    <w:rsid w:val="00FC6A1D"/>
    <w:rsid w:val="00FD7B65"/>
    <w:rsid w:val="00FF0A38"/>
    <w:rsid w:val="00FF499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customStyle="1" w:styleId="Default">
    <w:name w:val="Default"/>
    <w:rsid w:val="00C428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36FBF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A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A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A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F6EB-0633-4689-9FED-4E517672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7</TotalTime>
  <Pages>3</Pages>
  <Words>430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Lynch, Charlotte</cp:lastModifiedBy>
  <cp:revision>3</cp:revision>
  <cp:lastPrinted>2018-03-14T15:24:00Z</cp:lastPrinted>
  <dcterms:created xsi:type="dcterms:W3CDTF">2019-07-10T11:31:00Z</dcterms:created>
  <dcterms:modified xsi:type="dcterms:W3CDTF">2019-07-10T11:40:00Z</dcterms:modified>
</cp:coreProperties>
</file>